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D0" w:rsidRDefault="00FE17B3" w:rsidP="00FE17B3">
      <w:pPr>
        <w:jc w:val="center"/>
      </w:pPr>
      <w:r>
        <w:rPr>
          <w:noProof/>
          <w:lang w:eastAsia="fr-FR"/>
        </w:rPr>
        <w:drawing>
          <wp:inline distT="0" distB="0" distL="0" distR="0">
            <wp:extent cx="2238375" cy="2475567"/>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d Mayne 20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44585" cy="2482435"/>
                    </a:xfrm>
                    <a:prstGeom prst="rect">
                      <a:avLst/>
                    </a:prstGeom>
                  </pic:spPr>
                </pic:pic>
              </a:graphicData>
            </a:graphic>
          </wp:inline>
        </w:drawing>
      </w:r>
    </w:p>
    <w:p w:rsidR="00FE17B3" w:rsidRDefault="00FE17B3"/>
    <w:p w:rsidR="00FE17B3" w:rsidRDefault="00FE17B3" w:rsidP="00FE17B3">
      <w:pPr>
        <w:jc w:val="center"/>
        <w:rPr>
          <w:rFonts w:ascii="Kunstler Script" w:hAnsi="Kunstler Script"/>
          <w:sz w:val="56"/>
          <w:szCs w:val="56"/>
        </w:rPr>
      </w:pPr>
      <w:r w:rsidRPr="00FE17B3">
        <w:rPr>
          <w:rFonts w:ascii="Kunstler Script" w:hAnsi="Kunstler Script"/>
          <w:sz w:val="56"/>
          <w:szCs w:val="56"/>
        </w:rPr>
        <w:t xml:space="preserve">Vu par la presse / by the </w:t>
      </w:r>
      <w:proofErr w:type="spellStart"/>
      <w:r w:rsidRPr="00FE17B3">
        <w:rPr>
          <w:rFonts w:ascii="Kunstler Script" w:hAnsi="Kunstler Script"/>
          <w:sz w:val="56"/>
          <w:szCs w:val="56"/>
        </w:rPr>
        <w:t>press</w:t>
      </w:r>
      <w:proofErr w:type="spellEnd"/>
    </w:p>
    <w:p w:rsidR="00FE17B3" w:rsidRDefault="00FE17B3" w:rsidP="00FE17B3">
      <w:pPr>
        <w:jc w:val="center"/>
        <w:rPr>
          <w:rFonts w:ascii="Kunstler Script" w:hAnsi="Kunstler Script"/>
          <w:sz w:val="56"/>
          <w:szCs w:val="56"/>
        </w:rPr>
      </w:pPr>
      <w:bookmarkStart w:id="0" w:name="_GoBack"/>
      <w:bookmarkEnd w:id="0"/>
    </w:p>
    <w:tbl>
      <w:tblPr>
        <w:tblStyle w:val="Grilledutableau"/>
        <w:tblW w:w="0" w:type="auto"/>
        <w:tblLook w:val="04A0" w:firstRow="1" w:lastRow="0" w:firstColumn="1" w:lastColumn="0" w:noHBand="0" w:noVBand="1"/>
      </w:tblPr>
      <w:tblGrid>
        <w:gridCol w:w="2972"/>
        <w:gridCol w:w="6090"/>
      </w:tblGrid>
      <w:tr w:rsidR="00FE17B3" w:rsidTr="00D6570E">
        <w:tc>
          <w:tcPr>
            <w:tcW w:w="2972" w:type="dxa"/>
          </w:tcPr>
          <w:p w:rsidR="00FE17B3" w:rsidRPr="00D6570E" w:rsidRDefault="00FE17B3" w:rsidP="00FE17B3">
            <w:pPr>
              <w:rPr>
                <w:b/>
                <w:sz w:val="20"/>
                <w:szCs w:val="20"/>
              </w:rPr>
            </w:pPr>
            <w:r w:rsidRPr="00D6570E">
              <w:rPr>
                <w:b/>
                <w:sz w:val="20"/>
                <w:szCs w:val="20"/>
              </w:rPr>
              <w:t>Terres de Vins</w:t>
            </w:r>
          </w:p>
        </w:tc>
        <w:tc>
          <w:tcPr>
            <w:tcW w:w="6090" w:type="dxa"/>
          </w:tcPr>
          <w:p w:rsidR="00FE17B3" w:rsidRDefault="00FE17B3" w:rsidP="00D6570E">
            <w:pPr>
              <w:jc w:val="both"/>
              <w:rPr>
                <w:b/>
                <w:sz w:val="20"/>
                <w:szCs w:val="20"/>
              </w:rPr>
            </w:pPr>
            <w:r>
              <w:rPr>
                <w:sz w:val="20"/>
                <w:szCs w:val="20"/>
              </w:rPr>
              <w:t>On retrouve le profil retenu et discret de Grand Mayne, sur une expression mesurée, un fruit net et parfumé. En bouche on a une matière gracieuse et juteuse</w:t>
            </w:r>
            <w:r w:rsidR="00D6570E">
              <w:rPr>
                <w:sz w:val="20"/>
                <w:szCs w:val="20"/>
              </w:rPr>
              <w:t xml:space="preserve">, désaltérante autour d’un jus bien saisi avec des tannins nobles et une fraicheur bienvenue. Ce sera un très beau vin de plaisir. </w:t>
            </w:r>
            <w:r w:rsidR="00D6570E" w:rsidRPr="00D6570E">
              <w:rPr>
                <w:b/>
                <w:sz w:val="20"/>
                <w:szCs w:val="20"/>
              </w:rPr>
              <w:t>94/100</w:t>
            </w:r>
          </w:p>
          <w:p w:rsidR="00D6570E" w:rsidRDefault="00D6570E" w:rsidP="00D6570E">
            <w:pPr>
              <w:jc w:val="both"/>
              <w:rPr>
                <w:sz w:val="20"/>
                <w:szCs w:val="20"/>
              </w:rPr>
            </w:pPr>
          </w:p>
        </w:tc>
      </w:tr>
      <w:tr w:rsidR="00FE17B3" w:rsidTr="00D6570E">
        <w:tc>
          <w:tcPr>
            <w:tcW w:w="2972" w:type="dxa"/>
          </w:tcPr>
          <w:p w:rsidR="00FE17B3" w:rsidRPr="00FE17B3" w:rsidRDefault="00FE17B3" w:rsidP="00FE17B3">
            <w:pPr>
              <w:rPr>
                <w:b/>
                <w:sz w:val="20"/>
                <w:szCs w:val="20"/>
              </w:rPr>
            </w:pPr>
            <w:r w:rsidRPr="00FE17B3">
              <w:rPr>
                <w:b/>
                <w:sz w:val="20"/>
                <w:szCs w:val="20"/>
              </w:rPr>
              <w:t>Yves Beck</w:t>
            </w:r>
          </w:p>
        </w:tc>
        <w:tc>
          <w:tcPr>
            <w:tcW w:w="6090" w:type="dxa"/>
          </w:tcPr>
          <w:p w:rsidR="00FE17B3" w:rsidRDefault="00FE17B3" w:rsidP="00FE17B3">
            <w:pPr>
              <w:rPr>
                <w:sz w:val="20"/>
                <w:szCs w:val="20"/>
              </w:rPr>
            </w:pPr>
            <w:r>
              <w:rPr>
                <w:sz w:val="20"/>
                <w:szCs w:val="20"/>
              </w:rPr>
              <w:t>80% Merlot 20% Cabernet Franc</w:t>
            </w:r>
          </w:p>
          <w:p w:rsidR="00FE17B3" w:rsidRDefault="00FE17B3" w:rsidP="00FE17B3">
            <w:pPr>
              <w:rPr>
                <w:sz w:val="20"/>
                <w:szCs w:val="20"/>
              </w:rPr>
            </w:pPr>
            <w:r>
              <w:rPr>
                <w:sz w:val="20"/>
                <w:szCs w:val="20"/>
              </w:rPr>
              <w:t xml:space="preserve">Rouge grenat aux reflets violets. Belle intensité florale en symbiose avec d’élégantes notes fruitées telles que myrtilles, mûres et une touche de cerises. Fines notes minérales avec des nuances de graphite. En bouche le vin est marqué par l’élégance, l’équilibre. Dès l’attaque le vin est friand et crémeux. Ses tannins sont bien enrobés et en phase avec la race de la structure. Il en résulte une bonne symbiose et une expression aromatique bien soutenue par l’acidité. Un Grand Mayne frais, élégant et prêt à aller dans le temps. 2024-2044. </w:t>
            </w:r>
          </w:p>
          <w:p w:rsidR="00FE17B3" w:rsidRDefault="00FE17B3" w:rsidP="00FE17B3">
            <w:pPr>
              <w:rPr>
                <w:b/>
                <w:sz w:val="20"/>
                <w:szCs w:val="20"/>
              </w:rPr>
            </w:pPr>
            <w:r w:rsidRPr="00FE17B3">
              <w:rPr>
                <w:b/>
                <w:sz w:val="20"/>
                <w:szCs w:val="20"/>
              </w:rPr>
              <w:t>93-95/100</w:t>
            </w:r>
          </w:p>
          <w:p w:rsidR="00D6570E" w:rsidRPr="00FE17B3" w:rsidRDefault="00D6570E" w:rsidP="00FE17B3">
            <w:pPr>
              <w:rPr>
                <w:b/>
                <w:sz w:val="20"/>
                <w:szCs w:val="20"/>
              </w:rPr>
            </w:pPr>
          </w:p>
        </w:tc>
      </w:tr>
      <w:tr w:rsidR="00FE17B3" w:rsidRPr="00D6570E" w:rsidTr="00D6570E">
        <w:tc>
          <w:tcPr>
            <w:tcW w:w="2972" w:type="dxa"/>
          </w:tcPr>
          <w:p w:rsidR="00FE17B3" w:rsidRPr="00D6570E" w:rsidRDefault="00D6570E" w:rsidP="00FE17B3">
            <w:pPr>
              <w:rPr>
                <w:b/>
                <w:sz w:val="20"/>
                <w:szCs w:val="20"/>
              </w:rPr>
            </w:pPr>
            <w:r w:rsidRPr="00D6570E">
              <w:rPr>
                <w:b/>
                <w:sz w:val="20"/>
                <w:szCs w:val="20"/>
              </w:rPr>
              <w:t xml:space="preserve">The Wine </w:t>
            </w:r>
            <w:proofErr w:type="spellStart"/>
            <w:r w:rsidRPr="00D6570E">
              <w:rPr>
                <w:b/>
                <w:sz w:val="20"/>
                <w:szCs w:val="20"/>
              </w:rPr>
              <w:t>Cellar</w:t>
            </w:r>
            <w:proofErr w:type="spellEnd"/>
            <w:r w:rsidRPr="00D6570E">
              <w:rPr>
                <w:b/>
                <w:sz w:val="20"/>
                <w:szCs w:val="20"/>
              </w:rPr>
              <w:t xml:space="preserve"> </w:t>
            </w:r>
            <w:proofErr w:type="spellStart"/>
            <w:r w:rsidRPr="00D6570E">
              <w:rPr>
                <w:b/>
                <w:sz w:val="20"/>
                <w:szCs w:val="20"/>
              </w:rPr>
              <w:t>Insider</w:t>
            </w:r>
            <w:proofErr w:type="spellEnd"/>
          </w:p>
        </w:tc>
        <w:tc>
          <w:tcPr>
            <w:tcW w:w="6090" w:type="dxa"/>
          </w:tcPr>
          <w:p w:rsidR="00FE17B3" w:rsidRDefault="00D6570E" w:rsidP="00FE17B3">
            <w:pPr>
              <w:rPr>
                <w:b/>
                <w:sz w:val="20"/>
                <w:szCs w:val="20"/>
                <w:lang w:val="en-US"/>
              </w:rPr>
            </w:pPr>
            <w:r w:rsidRPr="00D6570E">
              <w:rPr>
                <w:sz w:val="20"/>
                <w:szCs w:val="20"/>
                <w:lang w:val="en-US"/>
              </w:rPr>
              <w:t xml:space="preserve">Quite floral, you also find notes of licorice, espresso and earthy nuances to accompany all that beautiful, ripe, red fruit. </w:t>
            </w:r>
            <w:r>
              <w:rPr>
                <w:sz w:val="20"/>
                <w:szCs w:val="20"/>
                <w:lang w:val="en-US"/>
              </w:rPr>
              <w:t xml:space="preserve">Soft, silky and refined, this elegant medium-bodied charmer will be better with 5-7 years in the cellar and should age and evolve for another 2 decades after that. </w:t>
            </w:r>
            <w:r w:rsidRPr="00D6570E">
              <w:rPr>
                <w:b/>
                <w:sz w:val="20"/>
                <w:szCs w:val="20"/>
                <w:lang w:val="en-US"/>
              </w:rPr>
              <w:t>92-94</w:t>
            </w:r>
            <w:r>
              <w:rPr>
                <w:b/>
                <w:sz w:val="20"/>
                <w:szCs w:val="20"/>
                <w:lang w:val="en-US"/>
              </w:rPr>
              <w:t>/100</w:t>
            </w:r>
          </w:p>
          <w:p w:rsidR="00D6570E" w:rsidRPr="00D6570E" w:rsidRDefault="00D6570E" w:rsidP="00FE17B3">
            <w:pPr>
              <w:rPr>
                <w:sz w:val="20"/>
                <w:szCs w:val="20"/>
                <w:lang w:val="en-US"/>
              </w:rPr>
            </w:pPr>
          </w:p>
        </w:tc>
      </w:tr>
      <w:tr w:rsidR="00FE17B3" w:rsidRPr="00D6570E" w:rsidTr="00D6570E">
        <w:tc>
          <w:tcPr>
            <w:tcW w:w="2972" w:type="dxa"/>
          </w:tcPr>
          <w:p w:rsidR="00FE17B3" w:rsidRPr="00D6570E" w:rsidRDefault="00D6570E" w:rsidP="00FE17B3">
            <w:pPr>
              <w:rPr>
                <w:b/>
                <w:sz w:val="20"/>
                <w:szCs w:val="20"/>
                <w:lang w:val="en-US"/>
              </w:rPr>
            </w:pPr>
            <w:proofErr w:type="spellStart"/>
            <w:r w:rsidRPr="00D6570E">
              <w:rPr>
                <w:b/>
                <w:sz w:val="20"/>
                <w:szCs w:val="20"/>
                <w:lang w:val="en-US"/>
              </w:rPr>
              <w:t>Anthocyanes</w:t>
            </w:r>
            <w:proofErr w:type="spellEnd"/>
            <w:r w:rsidRPr="00D6570E">
              <w:rPr>
                <w:b/>
                <w:sz w:val="20"/>
                <w:szCs w:val="20"/>
                <w:lang w:val="en-US"/>
              </w:rPr>
              <w:t xml:space="preserve"> – </w:t>
            </w:r>
            <w:proofErr w:type="spellStart"/>
            <w:r w:rsidRPr="00D6570E">
              <w:rPr>
                <w:b/>
                <w:sz w:val="20"/>
                <w:szCs w:val="20"/>
                <w:lang w:val="en-US"/>
              </w:rPr>
              <w:t>Yohann</w:t>
            </w:r>
            <w:proofErr w:type="spellEnd"/>
            <w:r w:rsidRPr="00D6570E">
              <w:rPr>
                <w:b/>
                <w:sz w:val="20"/>
                <w:szCs w:val="20"/>
                <w:lang w:val="en-US"/>
              </w:rPr>
              <w:t xml:space="preserve"> </w:t>
            </w:r>
            <w:proofErr w:type="spellStart"/>
            <w:r w:rsidRPr="00D6570E">
              <w:rPr>
                <w:b/>
                <w:sz w:val="20"/>
                <w:szCs w:val="20"/>
                <w:lang w:val="en-US"/>
              </w:rPr>
              <w:t>Castaing</w:t>
            </w:r>
            <w:proofErr w:type="spellEnd"/>
          </w:p>
        </w:tc>
        <w:tc>
          <w:tcPr>
            <w:tcW w:w="6090" w:type="dxa"/>
          </w:tcPr>
          <w:p w:rsidR="00FE17B3" w:rsidRDefault="00D6570E" w:rsidP="00FE17B3">
            <w:pPr>
              <w:rPr>
                <w:b/>
                <w:sz w:val="20"/>
                <w:szCs w:val="20"/>
                <w:lang w:val="en-US"/>
              </w:rPr>
            </w:pPr>
            <w:r w:rsidRPr="00D6570E">
              <w:rPr>
                <w:b/>
                <w:sz w:val="20"/>
                <w:szCs w:val="20"/>
                <w:lang w:val="en-US"/>
              </w:rPr>
              <w:t>92-94/100</w:t>
            </w:r>
          </w:p>
          <w:p w:rsidR="00D6570E" w:rsidRPr="00D6570E" w:rsidRDefault="00D6570E" w:rsidP="00FE17B3">
            <w:pPr>
              <w:rPr>
                <w:b/>
                <w:sz w:val="20"/>
                <w:szCs w:val="20"/>
                <w:lang w:val="en-US"/>
              </w:rPr>
            </w:pPr>
          </w:p>
        </w:tc>
      </w:tr>
      <w:tr w:rsidR="00FE17B3" w:rsidRPr="00D6570E" w:rsidTr="00D6570E">
        <w:tc>
          <w:tcPr>
            <w:tcW w:w="2972" w:type="dxa"/>
          </w:tcPr>
          <w:p w:rsidR="00FE17B3" w:rsidRPr="00D6570E" w:rsidRDefault="00D6570E" w:rsidP="00FE17B3">
            <w:pPr>
              <w:rPr>
                <w:b/>
                <w:sz w:val="20"/>
                <w:szCs w:val="20"/>
                <w:lang w:val="en-US"/>
              </w:rPr>
            </w:pPr>
            <w:r w:rsidRPr="00D6570E">
              <w:rPr>
                <w:b/>
                <w:sz w:val="20"/>
                <w:szCs w:val="20"/>
                <w:lang w:val="en-US"/>
              </w:rPr>
              <w:t>Le Figaro</w:t>
            </w:r>
          </w:p>
        </w:tc>
        <w:tc>
          <w:tcPr>
            <w:tcW w:w="6090" w:type="dxa"/>
          </w:tcPr>
          <w:p w:rsidR="00FE17B3" w:rsidRPr="00D6570E" w:rsidRDefault="00D6570E" w:rsidP="00FE17B3">
            <w:pPr>
              <w:rPr>
                <w:sz w:val="20"/>
                <w:szCs w:val="20"/>
              </w:rPr>
            </w:pPr>
            <w:r w:rsidRPr="00D6570E">
              <w:rPr>
                <w:sz w:val="20"/>
                <w:szCs w:val="20"/>
              </w:rPr>
              <w:t xml:space="preserve">Attaque souple, onctueuse, volumineuse, ensoleillée, épicée, tendue, dotée d’une belle charge tannique. </w:t>
            </w:r>
            <w:r w:rsidRPr="00D6570E">
              <w:rPr>
                <w:b/>
                <w:sz w:val="20"/>
                <w:szCs w:val="20"/>
              </w:rPr>
              <w:t>16/20</w:t>
            </w:r>
          </w:p>
        </w:tc>
      </w:tr>
    </w:tbl>
    <w:p w:rsidR="00FE17B3" w:rsidRPr="00D6570E" w:rsidRDefault="00FE17B3" w:rsidP="00FE17B3">
      <w:pPr>
        <w:rPr>
          <w:sz w:val="20"/>
          <w:szCs w:val="20"/>
        </w:rPr>
      </w:pPr>
    </w:p>
    <w:sectPr w:rsidR="00FE17B3" w:rsidRPr="00D65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B3"/>
    <w:rsid w:val="00595DD0"/>
    <w:rsid w:val="00D6570E"/>
    <w:rsid w:val="00FE1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C204E-587B-4091-8A14-4F60D7B0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E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220</Words>
  <Characters>1213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Antoine NONY</dc:creator>
  <cp:keywords/>
  <dc:description/>
  <cp:lastModifiedBy>Jean Antoine NONY</cp:lastModifiedBy>
  <cp:revision>1</cp:revision>
  <dcterms:created xsi:type="dcterms:W3CDTF">2020-06-15T09:55:00Z</dcterms:created>
  <dcterms:modified xsi:type="dcterms:W3CDTF">2020-06-15T10:17:00Z</dcterms:modified>
</cp:coreProperties>
</file>